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6" w:rsidRDefault="008F16A6">
      <w:bookmarkStart w:id="0" w:name="_GoBack"/>
      <w:bookmarkEnd w:id="0"/>
    </w:p>
    <w:tbl>
      <w:tblPr>
        <w:tblW w:w="13253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15"/>
      </w:tblGrid>
      <w:tr w:rsidR="005E33E9" w:rsidRPr="00277DE4" w:rsidTr="00F55806">
        <w:trPr>
          <w:trHeight w:val="270"/>
          <w:tblHeader/>
        </w:trPr>
        <w:tc>
          <w:tcPr>
            <w:tcW w:w="233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Nombre de la encuesta y siglas </w:t>
            </w:r>
          </w:p>
        </w:tc>
        <w:tc>
          <w:tcPr>
            <w:tcW w:w="109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057FEC" w:rsidRPr="006D01F8" w:rsidRDefault="00057FEC" w:rsidP="00057F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Encuesta Nacional de Victimización y Percepción sobre Seguridad Pública 2011 (ENVIPE)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que la elaboró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F55806" w:rsidP="00057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="Calibri" w:hAnsi="Calibri" w:cs="Arial"/>
                <w:sz w:val="20"/>
                <w:szCs w:val="20"/>
              </w:rPr>
              <w:t>Subsistema Nacional de Información de Gobierno, Seguridad Pú</w:t>
            </w:r>
            <w:r>
              <w:rPr>
                <w:rFonts w:ascii="Calibri" w:hAnsi="Calibri" w:cs="Arial"/>
                <w:sz w:val="20"/>
                <w:szCs w:val="20"/>
              </w:rPr>
              <w:t xml:space="preserve">blica e Impartición de Justicia e </w:t>
            </w:r>
            <w:r w:rsidR="00483CBD" w:rsidRPr="00DD29F8">
              <w:rPr>
                <w:rFonts w:ascii="Calibri" w:hAnsi="Calibri" w:cs="Arial"/>
                <w:sz w:val="20"/>
                <w:szCs w:val="20"/>
              </w:rPr>
              <w:t>Instituto Nacional de Estadística y Geografía</w:t>
            </w:r>
            <w:r w:rsidR="00483C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3CBD" w:rsidRPr="00DD29F8">
              <w:rPr>
                <w:rFonts w:ascii="Calibri" w:hAnsi="Calibri" w:cs="Arial"/>
                <w:sz w:val="20"/>
                <w:szCs w:val="20"/>
              </w:rPr>
              <w:t>(INEGI)</w:t>
            </w:r>
            <w:r w:rsidR="00F0599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E33E9" w:rsidRPr="00277DE4" w:rsidTr="00F55806">
        <w:trPr>
          <w:trHeight w:val="51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o sitio que difunde o tiene a resguardo la información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483CBD" w:rsidP="009E1C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9F8">
              <w:rPr>
                <w:rFonts w:ascii="Calibri" w:hAnsi="Calibri" w:cs="Arial"/>
                <w:sz w:val="20"/>
                <w:szCs w:val="20"/>
              </w:rPr>
              <w:t>Instituto Nacional de Estadística y Geografía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D29F8">
              <w:rPr>
                <w:rFonts w:ascii="Calibri" w:hAnsi="Calibri" w:cs="Arial"/>
                <w:sz w:val="20"/>
                <w:szCs w:val="20"/>
              </w:rPr>
              <w:t>(INEGI)</w:t>
            </w:r>
          </w:p>
        </w:tc>
      </w:tr>
      <w:tr w:rsidR="00483CBD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CBD" w:rsidRPr="00277DE4" w:rsidRDefault="00483CBD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Medio por el cual se obtuvo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3CBD" w:rsidRDefault="00483CBD" w:rsidP="00F6269A">
            <w:pPr>
              <w:ind w:right="-103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Internet</w:t>
            </w:r>
          </w:p>
          <w:p w:rsidR="00483CBD" w:rsidRPr="006D01F8" w:rsidRDefault="00483CBD" w:rsidP="00F6269A">
            <w:pPr>
              <w:ind w:right="-1030"/>
              <w:rPr>
                <w:rFonts w:ascii="Calibri" w:hAnsi="Calibri" w:cs="Arial"/>
                <w:sz w:val="20"/>
                <w:szCs w:val="20"/>
              </w:rPr>
            </w:pPr>
            <w:r w:rsidRPr="006D01F8">
              <w:rPr>
                <w:rFonts w:ascii="Calibri" w:hAnsi="Calibri" w:cs="Arial"/>
                <w:sz w:val="20"/>
                <w:szCs w:val="20"/>
              </w:rPr>
              <w:t xml:space="preserve">Consultada el 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Pr="006D01F8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t>enero</w:t>
            </w:r>
            <w:r w:rsidRPr="006D01F8">
              <w:rPr>
                <w:rFonts w:ascii="Calibri" w:hAnsi="Calibri" w:cs="Arial"/>
                <w:sz w:val="20"/>
                <w:szCs w:val="20"/>
              </w:rPr>
              <w:t xml:space="preserve"> de 201</w:t>
            </w:r>
            <w:r>
              <w:rPr>
                <w:rFonts w:ascii="Calibri" w:hAnsi="Calibri" w:cs="Arial"/>
                <w:sz w:val="20"/>
                <w:szCs w:val="20"/>
              </w:rPr>
              <w:t xml:space="preserve">2 en </w:t>
            </w:r>
            <w:r w:rsidRPr="00F7268A">
              <w:rPr>
                <w:rFonts w:ascii="Calibri" w:hAnsi="Calibri" w:cs="Arial"/>
                <w:sz w:val="18"/>
                <w:szCs w:val="20"/>
              </w:rPr>
              <w:t>http://www.inegi.org.mx/est/contenidos/Proyectos/Encuestas/Hogares/</w:t>
            </w:r>
          </w:p>
        </w:tc>
      </w:tr>
      <w:tr w:rsidR="005E33E9" w:rsidRPr="00277DE4" w:rsidTr="00F55806">
        <w:trPr>
          <w:trHeight w:val="5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Forma parte de un conjunto de encuestas, ¿cuál(es)?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55806" w:rsidRDefault="00F55806" w:rsidP="00F558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55806">
              <w:rPr>
                <w:rFonts w:ascii="Calibri" w:hAnsi="Calibri" w:cs="Arial"/>
                <w:sz w:val="20"/>
                <w:szCs w:val="20"/>
              </w:rPr>
              <w:t xml:space="preserve">Sustituye a la Encuesta Nacional sobre Inseguridad (ENSI), que por más de ocho años </w:t>
            </w:r>
            <w:r>
              <w:rPr>
                <w:rFonts w:ascii="Calibri" w:hAnsi="Calibri" w:cs="Arial"/>
                <w:sz w:val="20"/>
                <w:szCs w:val="20"/>
              </w:rPr>
              <w:t>fue la fuente de</w:t>
            </w:r>
            <w:r w:rsidRPr="00F55806">
              <w:rPr>
                <w:rFonts w:ascii="Calibri" w:hAnsi="Calibri" w:cs="Arial"/>
                <w:sz w:val="20"/>
                <w:szCs w:val="20"/>
              </w:rPr>
              <w:t xml:space="preserve"> información sobre la percepción que tienen los habitantes sobre la inseguridad en el lugar donde viven y la estimación de los hechos delictivos denunciados y no denunciados, a nivel nacional. </w:t>
            </w:r>
          </w:p>
          <w:p w:rsidR="00F55806" w:rsidRPr="00F55806" w:rsidRDefault="00F55806" w:rsidP="00F558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55806">
              <w:rPr>
                <w:rFonts w:ascii="Calibri" w:hAnsi="Calibri" w:cs="Arial"/>
                <w:sz w:val="20"/>
                <w:szCs w:val="20"/>
              </w:rPr>
              <w:t xml:space="preserve">La sustitución se realizó con la finalidad de presentar una encuesta con una metodología y diseño diferente que permitiera mejorar la captación de la información, 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F55806">
              <w:rPr>
                <w:rFonts w:ascii="Calibri" w:hAnsi="Calibri" w:cs="Arial"/>
                <w:sz w:val="20"/>
                <w:szCs w:val="20"/>
              </w:rPr>
              <w:t xml:space="preserve"> ampliar y precisar la temática. </w:t>
            </w:r>
          </w:p>
          <w:p w:rsidR="00103790" w:rsidRPr="00F55806" w:rsidRDefault="00F55806" w:rsidP="00F558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55806">
              <w:rPr>
                <w:rFonts w:ascii="Calibri" w:hAnsi="Calibri" w:cs="Arial"/>
                <w:sz w:val="20"/>
                <w:szCs w:val="20"/>
              </w:rPr>
              <w:t>Su periodicidad es anual y se cuenta con información a partir de 2010.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Periodo de la información 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0166D3" w:rsidP="00F558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="Calibri" w:hAnsi="Calibri" w:cs="Arial"/>
                <w:sz w:val="20"/>
                <w:szCs w:val="20"/>
              </w:rPr>
              <w:t>14 de marzo al 22 de abril de 2011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Año de publicación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EF5118" w:rsidRDefault="00F55806" w:rsidP="00C94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55806" w:rsidRPr="00F55806" w:rsidRDefault="00F55806" w:rsidP="00C131A2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Tipo de vivienda.</w:t>
            </w:r>
          </w:p>
          <w:p w:rsidR="00F55806" w:rsidRPr="00F55806" w:rsidRDefault="00F55806" w:rsidP="00C131A2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Hogares y residentes en la vivienda.</w:t>
            </w:r>
          </w:p>
          <w:p w:rsidR="00F55806" w:rsidRPr="00F55806" w:rsidRDefault="00F55806" w:rsidP="00C131A2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Integrantes del hogar y características sociodemográficas.</w:t>
            </w:r>
          </w:p>
          <w:p w:rsidR="00F55806" w:rsidRPr="00F55806" w:rsidRDefault="00F55806" w:rsidP="00C131A2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Percepción de la seguridad pública.</w:t>
            </w:r>
          </w:p>
          <w:p w:rsidR="00F55806" w:rsidRPr="00C131A2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Conocer la percepción que tienen los habitantes sobre la inseguridad en el lugar donde viven, su colonia o localidad, municipio y entidad federativa.</w:t>
            </w:r>
          </w:p>
          <w:p w:rsidR="00F55806" w:rsidRPr="00C131A2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Estimar el nivel de inseguridad percibido en los diferentes ámbitos de convivencia de las personas.</w:t>
            </w:r>
          </w:p>
          <w:p w:rsidR="00F55806" w:rsidRPr="00C131A2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Actividades inhibidas en la población por miedo a ser víctima de conductas delictivas.</w:t>
            </w:r>
          </w:p>
          <w:p w:rsidR="00F55806" w:rsidRPr="00C131A2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Temor a ser víctima.</w:t>
            </w:r>
          </w:p>
          <w:p w:rsidR="00C131A2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Medidas adoptadas para protegerse de los delincuentes en la vivienda y en los vehículos.</w:t>
            </w:r>
          </w:p>
          <w:p w:rsidR="00F55806" w:rsidRPr="00C131A2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Problemas relacionados con la inseguridad.</w:t>
            </w:r>
          </w:p>
          <w:p w:rsidR="00F55806" w:rsidRPr="00F55806" w:rsidRDefault="00F55806" w:rsidP="00C131A2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Percepción sobre las principales causas de la inseguridad.</w:t>
            </w:r>
          </w:p>
          <w:p w:rsidR="00F55806" w:rsidRPr="00C131A2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131A2">
              <w:rPr>
                <w:rFonts w:asciiTheme="minorHAnsi" w:hAnsiTheme="minorHAnsi" w:cstheme="minorHAnsi"/>
                <w:sz w:val="20"/>
                <w:szCs w:val="20"/>
              </w:rPr>
              <w:t>Percepción del Desempeño Institucional.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Percepción sobre el conocimiento, la disposición, el desempeño y la imagen que tiene la población sobre las distintas autoridades de seguridad pública y sus funciones, tales como los ministerios públicos, las policías, el ejército, la marina, los jueces, etcétera.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Grado de confianza en diferentes instituciones.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Identificación de acciones que se han realizado para que haya más seguridad.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Victimización.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Estimar los hechos delictivos denunciados y no denunciados a nivel nacional y la razón de la omisión de la denuncia.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Registrar el historial de victimización en el último año con relación a: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 xml:space="preserve"> Delitos contra el patrimonio de las personas: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Robo (Identificando el: robo de vehículos, robo de autopartes, robo de casa-habitación, robo o asalto en la calle o en el transporte público y otros robos).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Clonación de tarjeta bancaria (crédito o débito).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Fraude.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Delitos contra la libertad física (como secuestro y secuestro exprés).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Delitos contra la libertad sexual, la seguridad sexual o el normal desarrollo psicosexual (hostigamiento, manoseo, exhibicionismo, intento de violación y violación sexual).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Delitos contra la seguridad individual, la privacidad y la confidencialidad de las personas (extorsión, amenazas verbales, lesiones, etcétera).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Características del delito (mes, lugar y hora), tipo de arma utilizada en el delito, agresión con el arma, otro tipo de violencia utilizada en el delito.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Cultura de denuncia y razón de la omisión de la denuncia.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Perfil de delincuentes (percepción de la víctima respecto a edad, sexo y otras variables).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Perfil general de las víctimas (edad, sexo, nivel socioeconómico, etcétera).</w:t>
            </w:r>
          </w:p>
          <w:p w:rsidR="00F55806" w:rsidRPr="00F55806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Daños físicos-emocionales.</w:t>
            </w:r>
          </w:p>
          <w:p w:rsidR="00747CA8" w:rsidRPr="00747CA8" w:rsidRDefault="00F55806" w:rsidP="008666C8">
            <w:pPr>
              <w:pStyle w:val="Prrafodelista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5806">
              <w:rPr>
                <w:rFonts w:asciiTheme="minorHAnsi" w:hAnsiTheme="minorHAnsi" w:cstheme="minorHAnsi"/>
                <w:sz w:val="20"/>
                <w:szCs w:val="20"/>
              </w:rPr>
              <w:t>Pérdidas a consecuencia del delito y monto estimado.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Contenidos temáticos relevantes para la investigación de género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F5118" w:rsidRPr="00EF5118" w:rsidRDefault="005A3BA8" w:rsidP="00A7567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Análisis de la Victimización y percepción sobre seguridad pública con perspectiva de género.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E28C2" w:rsidRPr="00322F44" w:rsidRDefault="000166D3" w:rsidP="007E28C2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66D3">
              <w:rPr>
                <w:rFonts w:asciiTheme="minorHAnsi" w:hAnsiTheme="minorHAnsi" w:cstheme="minorHAnsi"/>
                <w:bCs/>
                <w:sz w:val="20"/>
                <w:szCs w:val="20"/>
              </w:rPr>
              <w:t>Obtener información con representatividad a nivel nacional, estatal y de 17 zonas urbanas que permita realizar estimaciones de la incidencia delictiva que afecta a los hogares y a las personas miembros del hogar durante 2010, características del delito, las víctimas y el contexto de la victimización. Asimismo, se busca obtener información sobre la percepción de la seguridad pública, así como la percepción sobre el desempeño y experiencias con las instituciones a cargo de la seguridad pública y la justicia.</w:t>
            </w:r>
          </w:p>
        </w:tc>
      </w:tr>
      <w:tr w:rsidR="00F55806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806" w:rsidRPr="00277DE4" w:rsidRDefault="00F55806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Unidad de análisis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55806" w:rsidRPr="00EF4E27" w:rsidRDefault="008666C8" w:rsidP="008666C8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Residentes de las viviendas seleccionadas de 18 años y más, y personas seleccionadas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para responder sobre los temas que se abordan a partir de la tercera sección del cuestionario de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encuesta.</w:t>
            </w:r>
          </w:p>
        </w:tc>
      </w:tr>
      <w:tr w:rsidR="005E33E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Diseño </w:t>
            </w:r>
            <w:proofErr w:type="spellStart"/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muestral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66C8" w:rsidRPr="008666C8" w:rsidRDefault="008666C8" w:rsidP="008666C8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 esquema de muestreo de la ENVIPE-2011 es probabilístico, estratificado, </w:t>
            </w:r>
            <w:proofErr w:type="spellStart"/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trietápico</w:t>
            </w:r>
            <w:proofErr w:type="spellEnd"/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y por conglomerados:</w:t>
            </w:r>
          </w:p>
          <w:p w:rsidR="008666C8" w:rsidRPr="008666C8" w:rsidRDefault="008666C8" w:rsidP="008666C8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a) Probabilístico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Las unidades de selección tienen una probabilidad conocida y distinta de cero de ser seleccionadas.</w:t>
            </w:r>
          </w:p>
          <w:p w:rsidR="008666C8" w:rsidRPr="008666C8" w:rsidRDefault="008666C8" w:rsidP="008666C8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b) Estratificado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Las unidades de muestreo se clasifican de acuerdo a sus características socioeconómicas.</w:t>
            </w:r>
          </w:p>
          <w:p w:rsidR="008666C8" w:rsidRPr="008666C8" w:rsidRDefault="008666C8" w:rsidP="008666C8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c) </w:t>
            </w:r>
            <w:proofErr w:type="spellStart"/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Trietápico</w:t>
            </w:r>
            <w:proofErr w:type="spellEnd"/>
            <w:r w:rsidR="006B369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unidad última de muestreo (persona) es seleccionada en la tercera etapa.</w:t>
            </w:r>
          </w:p>
          <w:p w:rsidR="005E33E9" w:rsidRPr="00EF4E27" w:rsidRDefault="008666C8" w:rsidP="006B369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d) Por conglomerados</w:t>
            </w:r>
            <w:r w:rsidR="006B369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Las unidades de muestreo son un conjunto de unidades elementales, con características heterogéneas</w:t>
            </w:r>
            <w:r w:rsidR="006B369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8666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su interior y homogéneas hacia su exterior.</w:t>
            </w:r>
          </w:p>
        </w:tc>
      </w:tr>
      <w:tr w:rsidR="001850EC" w:rsidRPr="00216822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0EC" w:rsidRPr="00216822" w:rsidRDefault="001850EC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Tamaño de muestra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850EC" w:rsidRPr="007E70C2" w:rsidRDefault="006B3692" w:rsidP="001A7073">
            <w:pPr>
              <w:rPr>
                <w:rFonts w:ascii="Calibri" w:hAnsi="Calibri"/>
                <w:sz w:val="20"/>
                <w:szCs w:val="20"/>
              </w:rPr>
            </w:pPr>
            <w:r w:rsidRPr="006B3692">
              <w:rPr>
                <w:rFonts w:ascii="Calibri" w:hAnsi="Calibri"/>
                <w:sz w:val="20"/>
                <w:szCs w:val="20"/>
              </w:rPr>
              <w:t>78 179 viviendas</w:t>
            </w:r>
          </w:p>
        </w:tc>
      </w:tr>
      <w:tr w:rsidR="00216822" w:rsidRPr="00216822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Cobertura geográfica y desglose geográfico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66C8" w:rsidRPr="008666C8" w:rsidRDefault="008666C8" w:rsidP="008666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</w:rPr>
              <w:t>La encuesta está diseñada para dar resultados a los siguientes niveles de desagregación:</w:t>
            </w:r>
          </w:p>
          <w:p w:rsidR="008666C8" w:rsidRPr="008666C8" w:rsidRDefault="008666C8" w:rsidP="008666C8">
            <w:pPr>
              <w:pStyle w:val="Prrafodelista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</w:rPr>
              <w:t>Nacional.</w:t>
            </w:r>
          </w:p>
          <w:p w:rsidR="008666C8" w:rsidRPr="008666C8" w:rsidRDefault="008666C8" w:rsidP="008666C8">
            <w:pPr>
              <w:pStyle w:val="Prrafodelista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</w:rPr>
              <w:t>Nacional urbano.</w:t>
            </w:r>
          </w:p>
          <w:p w:rsidR="008666C8" w:rsidRPr="008666C8" w:rsidRDefault="008666C8" w:rsidP="008666C8">
            <w:pPr>
              <w:pStyle w:val="Prrafodelista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</w:rPr>
              <w:t>Nacional rural.</w:t>
            </w:r>
          </w:p>
          <w:p w:rsidR="00256FEC" w:rsidRDefault="008666C8" w:rsidP="008666C8">
            <w:pPr>
              <w:pStyle w:val="Prrafodelista"/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6C8">
              <w:rPr>
                <w:rFonts w:asciiTheme="minorHAnsi" w:hAnsiTheme="minorHAnsi" w:cstheme="minorHAnsi"/>
                <w:sz w:val="20"/>
                <w:szCs w:val="20"/>
              </w:rPr>
              <w:t>Para cada una de las 17 ciudades de interés y sus respectivas entidades</w:t>
            </w:r>
            <w:r w:rsidR="006B36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Acapulco, Guerrero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Cancún, Quintana Roo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Ciudad Juárez, Chihuahua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Chihuahua, Chihuahua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Cuernavaca, Morelos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Culiacán, Sinaloa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Guadalajara, Jalisco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Monterrey, Nuevo León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Mexicali, Baja California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 xml:space="preserve">Morelia, Michoacán; 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Nuevo Laredo, Tamaulipas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Oaxaca, Oaxaca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Tijuana, Baja California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Toluca, Estado de México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Villahermosa, Tabasco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Zona Metropolitana de la Ciudad de México</w:t>
            </w:r>
          </w:p>
          <w:p w:rsidR="006B3692" w:rsidRPr="006B3692" w:rsidRDefault="006B3692" w:rsidP="006B3692">
            <w:pPr>
              <w:pStyle w:val="Prrafodelista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692">
              <w:rPr>
                <w:rFonts w:asciiTheme="minorHAnsi" w:hAnsiTheme="minorHAnsi" w:cstheme="minorHAnsi"/>
                <w:sz w:val="20"/>
                <w:szCs w:val="20"/>
              </w:rPr>
              <w:t>17. Zona Metropolitana del Estado de México</w:t>
            </w:r>
          </w:p>
        </w:tc>
      </w:tr>
      <w:tr w:rsidR="005E33E9" w:rsidRPr="00C76E60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4C0D88" w:rsidP="00366A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Archivos </w:t>
            </w:r>
            <w:r w:rsidR="00366A8E">
              <w:rPr>
                <w:rFonts w:ascii="Calibri" w:hAnsi="Calibri" w:cs="Arial"/>
                <w:b/>
                <w:bCs/>
                <w:sz w:val="20"/>
                <w:szCs w:val="20"/>
              </w:rPr>
              <w:t>de la</w:t>
            </w:r>
            <w:r w:rsidR="005E33E9"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base de datos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06DC" w:rsidRDefault="004A6200" w:rsidP="00194086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Cuatro tablas</w:t>
            </w:r>
          </w:p>
          <w:p w:rsidR="00425C43" w:rsidRPr="005C0F09" w:rsidRDefault="004A6200" w:rsidP="005C0F09">
            <w:pPr>
              <w:pStyle w:val="Prrafodelista"/>
              <w:numPr>
                <w:ilvl w:val="0"/>
                <w:numId w:val="46"/>
              </w:numPr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5C0F09">
              <w:rPr>
                <w:rFonts w:ascii="Calibri" w:hAnsi="Calibri" w:cs="Arial"/>
                <w:sz w:val="20"/>
                <w:szCs w:val="20"/>
                <w:lang w:val="es-MX"/>
              </w:rPr>
              <w:t>Vivienda</w:t>
            </w:r>
            <w:r w:rsidR="005C0F09" w:rsidRPr="005C0F09">
              <w:rPr>
                <w:rFonts w:ascii="Calibri" w:hAnsi="Calibri" w:cs="Arial"/>
                <w:sz w:val="20"/>
                <w:szCs w:val="20"/>
                <w:lang w:val="es-MX"/>
              </w:rPr>
              <w:t xml:space="preserve">; </w:t>
            </w:r>
            <w:r w:rsidR="005C0F09">
              <w:rPr>
                <w:rFonts w:ascii="Calibri" w:hAnsi="Calibri" w:cs="Arial"/>
                <w:sz w:val="20"/>
                <w:szCs w:val="20"/>
                <w:lang w:val="es-MX"/>
              </w:rPr>
              <w:t xml:space="preserve">2) </w:t>
            </w:r>
            <w:r w:rsidR="00425C43" w:rsidRPr="005C0F09">
              <w:rPr>
                <w:rFonts w:ascii="Calibri" w:hAnsi="Calibri" w:cs="Arial"/>
                <w:sz w:val="20"/>
                <w:szCs w:val="20"/>
                <w:lang w:val="es-MX"/>
              </w:rPr>
              <w:t>Datos sociodemográficos</w:t>
            </w:r>
            <w:r w:rsidR="005C0F09" w:rsidRPr="005C0F09">
              <w:rPr>
                <w:rFonts w:ascii="Calibri" w:hAnsi="Calibri" w:cs="Arial"/>
                <w:sz w:val="20"/>
                <w:szCs w:val="20"/>
                <w:lang w:val="es-MX"/>
              </w:rPr>
              <w:t xml:space="preserve">, </w:t>
            </w:r>
            <w:r w:rsidR="005C0F09">
              <w:rPr>
                <w:rFonts w:ascii="Calibri" w:hAnsi="Calibri" w:cs="Arial"/>
                <w:sz w:val="20"/>
                <w:szCs w:val="20"/>
                <w:lang w:val="es-MX"/>
              </w:rPr>
              <w:t xml:space="preserve">3) </w:t>
            </w:r>
            <w:r w:rsidR="00425C43" w:rsidRPr="005C0F09">
              <w:rPr>
                <w:rFonts w:ascii="Calibri" w:hAnsi="Calibri" w:cs="Arial"/>
                <w:sz w:val="20"/>
                <w:szCs w:val="20"/>
                <w:lang w:val="es-MX"/>
              </w:rPr>
              <w:t>Percepción y victimización</w:t>
            </w:r>
            <w:r w:rsidR="005C0F09" w:rsidRPr="005C0F09">
              <w:rPr>
                <w:rFonts w:ascii="Calibri" w:hAnsi="Calibri" w:cs="Arial"/>
                <w:sz w:val="20"/>
                <w:szCs w:val="20"/>
                <w:lang w:val="es-MX"/>
              </w:rPr>
              <w:t xml:space="preserve">, </w:t>
            </w:r>
            <w:r w:rsidR="005C0F09">
              <w:rPr>
                <w:rFonts w:ascii="Calibri" w:hAnsi="Calibri" w:cs="Arial"/>
                <w:sz w:val="20"/>
                <w:szCs w:val="20"/>
                <w:lang w:val="es-MX"/>
              </w:rPr>
              <w:t xml:space="preserve">y 4) </w:t>
            </w:r>
            <w:r w:rsidR="00067D44" w:rsidRPr="005C0F09">
              <w:rPr>
                <w:rFonts w:ascii="Calibri" w:hAnsi="Calibri" w:cs="Arial"/>
                <w:sz w:val="20"/>
                <w:szCs w:val="20"/>
                <w:lang w:val="es-MX"/>
              </w:rPr>
              <w:t>Módulo de victimización y percepción sobre inseguridad 2011</w:t>
            </w:r>
          </w:p>
        </w:tc>
      </w:tr>
      <w:tr w:rsidR="00256BFE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>Número de cuestionario aplicados para recoger la información, ¿cuáles?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22F44" w:rsidRPr="00322F44" w:rsidRDefault="00084B53" w:rsidP="00322F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Dos: cuestionario principal y módulo sobre victimización</w:t>
            </w:r>
          </w:p>
        </w:tc>
      </w:tr>
      <w:tr w:rsidR="005C0F09" w:rsidRPr="00277DE4" w:rsidTr="00F55806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F09" w:rsidRPr="00277DE4" w:rsidRDefault="005C0F09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FD8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Número de bases. ¿Qué información contienen la base?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0F09" w:rsidRDefault="005C0F09" w:rsidP="00781702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Cuatro tablas</w:t>
            </w:r>
          </w:p>
          <w:p w:rsidR="005C0F09" w:rsidRDefault="005C0F09" w:rsidP="00781702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Vivienda (Tipo de vivienda, residentes en la vivienda e identificación de hogares). </w:t>
            </w:r>
          </w:p>
          <w:p w:rsidR="005C0F09" w:rsidRDefault="005C0F09" w:rsidP="00781702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Datos sociodemográficos  (</w:t>
            </w:r>
            <w:r w:rsidRPr="004A6200">
              <w:rPr>
                <w:rFonts w:ascii="Calibri" w:hAnsi="Calibri" w:cs="Arial"/>
                <w:sz w:val="20"/>
                <w:szCs w:val="20"/>
                <w:lang w:val="es-MX"/>
              </w:rPr>
              <w:t>Integrantes del hogar y características sociodemográficas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)</w:t>
            </w:r>
          </w:p>
          <w:p w:rsidR="005C0F09" w:rsidRDefault="005C0F09" w:rsidP="00781702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Percepción y victimización (Percepción sobre seguridad pública, desempeño institucional, víctimas del delito en el hogar, vehículos en el hogar, vehículos en el hogar, víctimas del delito)</w:t>
            </w:r>
          </w:p>
          <w:p w:rsidR="005C0F09" w:rsidRPr="00C76E60" w:rsidRDefault="005C0F09" w:rsidP="00781702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Módulo de victimización y percepción sobre inseguridad 2011 (todos los tipos de delito, robo total o parcial del vehículo, robo, fraude, extorsión, </w:t>
            </w:r>
            <w:r w:rsidRPr="00067D44">
              <w:rPr>
                <w:rFonts w:ascii="Calibri" w:hAnsi="Calibri" w:cs="Arial"/>
                <w:sz w:val="20"/>
                <w:szCs w:val="20"/>
                <w:lang w:val="es-MX"/>
              </w:rPr>
              <w:t>Hostigamiento, Manoseo, Exhibicionismo e intento de violació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n, </w:t>
            </w:r>
            <w:r w:rsidRPr="000C58FB">
              <w:rPr>
                <w:rFonts w:ascii="Calibri" w:hAnsi="Calibri" w:cs="Arial"/>
                <w:sz w:val="20"/>
                <w:szCs w:val="20"/>
                <w:lang w:val="es-MX"/>
              </w:rPr>
              <w:t>Secuestro para exigir dinero o cosas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256BFE" w:rsidRPr="00277DE4" w:rsidTr="00F55806">
        <w:trPr>
          <w:trHeight w:val="443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065FD8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 xml:space="preserve">Número de casos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con factor de expansión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E68B5" w:rsidRPr="000E598F" w:rsidRDefault="005C0F09" w:rsidP="00282E3B">
            <w:pPr>
              <w:rPr>
                <w:rFonts w:ascii="Calibri" w:hAnsi="Calibri"/>
                <w:sz w:val="20"/>
                <w:szCs w:val="20"/>
              </w:rPr>
            </w:pPr>
            <w:r w:rsidRPr="005C0F09">
              <w:rPr>
                <w:rFonts w:ascii="Calibri" w:hAnsi="Calibri"/>
                <w:sz w:val="20"/>
                <w:szCs w:val="20"/>
              </w:rPr>
              <w:t>74</w:t>
            </w:r>
            <w:r w:rsidR="00B06A60">
              <w:rPr>
                <w:rFonts w:ascii="Calibri" w:hAnsi="Calibri"/>
                <w:sz w:val="20"/>
                <w:szCs w:val="20"/>
              </w:rPr>
              <w:t>,</w:t>
            </w:r>
            <w:r w:rsidRPr="005C0F09">
              <w:rPr>
                <w:rFonts w:ascii="Calibri" w:hAnsi="Calibri"/>
                <w:sz w:val="20"/>
                <w:szCs w:val="20"/>
              </w:rPr>
              <w:t>500</w:t>
            </w:r>
            <w:r w:rsidR="00B06A60">
              <w:rPr>
                <w:rFonts w:ascii="Calibri" w:hAnsi="Calibri"/>
                <w:sz w:val="20"/>
                <w:szCs w:val="20"/>
              </w:rPr>
              <w:t>,</w:t>
            </w:r>
            <w:r w:rsidRPr="005C0F09">
              <w:rPr>
                <w:rFonts w:ascii="Calibri" w:hAnsi="Calibri"/>
                <w:sz w:val="20"/>
                <w:szCs w:val="20"/>
              </w:rPr>
              <w:t>383</w:t>
            </w:r>
            <w:r>
              <w:rPr>
                <w:rFonts w:ascii="Calibri" w:hAnsi="Calibri"/>
                <w:sz w:val="20"/>
                <w:szCs w:val="20"/>
              </w:rPr>
              <w:t xml:space="preserve"> personas y </w:t>
            </w:r>
            <w:r w:rsidR="00B06A60" w:rsidRPr="00B06A60">
              <w:rPr>
                <w:rFonts w:ascii="Calibri" w:hAnsi="Calibri"/>
                <w:sz w:val="20"/>
                <w:szCs w:val="20"/>
              </w:rPr>
              <w:t>28</w:t>
            </w:r>
            <w:r w:rsidR="00B06A60">
              <w:rPr>
                <w:rFonts w:ascii="Calibri" w:hAnsi="Calibri"/>
                <w:sz w:val="20"/>
                <w:szCs w:val="20"/>
              </w:rPr>
              <w:t>,</w:t>
            </w:r>
            <w:r w:rsidR="00B06A60" w:rsidRPr="00B06A60">
              <w:rPr>
                <w:rFonts w:ascii="Calibri" w:hAnsi="Calibri"/>
                <w:sz w:val="20"/>
                <w:szCs w:val="20"/>
              </w:rPr>
              <w:t>730</w:t>
            </w:r>
            <w:r w:rsidR="00B06A60">
              <w:rPr>
                <w:rFonts w:ascii="Calibri" w:hAnsi="Calibri"/>
                <w:sz w:val="20"/>
                <w:szCs w:val="20"/>
              </w:rPr>
              <w:t>,</w:t>
            </w:r>
            <w:r w:rsidR="00B06A60" w:rsidRPr="00B06A60">
              <w:rPr>
                <w:rFonts w:ascii="Calibri" w:hAnsi="Calibri"/>
                <w:sz w:val="20"/>
                <w:szCs w:val="20"/>
              </w:rPr>
              <w:t>288</w:t>
            </w:r>
            <w:r w:rsidR="00B06A60">
              <w:rPr>
                <w:rFonts w:ascii="Calibri" w:hAnsi="Calibri"/>
                <w:sz w:val="20"/>
                <w:szCs w:val="20"/>
              </w:rPr>
              <w:t xml:space="preserve"> hogares</w:t>
            </w:r>
          </w:p>
        </w:tc>
      </w:tr>
      <w:tr w:rsidR="00256BFE" w:rsidRPr="00277DE4" w:rsidTr="00F55806">
        <w:trPr>
          <w:trHeight w:val="168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BFE" w:rsidRPr="00277DE4" w:rsidRDefault="00256BFE" w:rsidP="009E1C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/>
                <w:b/>
                <w:bCs/>
                <w:sz w:val="20"/>
                <w:szCs w:val="20"/>
              </w:rPr>
              <w:t>¿La base contiene ponderar/factor de expansión?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6BFE" w:rsidRPr="00256BFE" w:rsidRDefault="005C0F09" w:rsidP="00256BFE">
            <w:pPr>
              <w:tabs>
                <w:tab w:val="left" w:pos="1695"/>
              </w:tabs>
              <w:rPr>
                <w:rFonts w:ascii="Arial" w:eastAsiaTheme="minorHAnsi" w:hAnsi="Arial" w:cs="Arial"/>
                <w:bCs/>
                <w:sz w:val="16"/>
                <w:szCs w:val="16"/>
                <w:lang w:val="es-MX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es-MX" w:eastAsia="en-US"/>
              </w:rPr>
              <w:t>Si</w:t>
            </w:r>
          </w:p>
        </w:tc>
      </w:tr>
    </w:tbl>
    <w:p w:rsidR="006D01F8" w:rsidRDefault="006D01F8" w:rsidP="000E598F"/>
    <w:sectPr w:rsidR="006D01F8" w:rsidSect="00F558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67"/>
    <w:multiLevelType w:val="hybridMultilevel"/>
    <w:tmpl w:val="530C8E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B6C"/>
    <w:multiLevelType w:val="hybridMultilevel"/>
    <w:tmpl w:val="5CACA6A8"/>
    <w:lvl w:ilvl="0" w:tplc="21148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CB6"/>
    <w:multiLevelType w:val="hybridMultilevel"/>
    <w:tmpl w:val="9BD4A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676"/>
    <w:multiLevelType w:val="hybridMultilevel"/>
    <w:tmpl w:val="52004390"/>
    <w:lvl w:ilvl="0" w:tplc="9B5457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1EFD"/>
    <w:multiLevelType w:val="hybridMultilevel"/>
    <w:tmpl w:val="25242208"/>
    <w:lvl w:ilvl="0" w:tplc="48DA58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50E6"/>
    <w:multiLevelType w:val="hybridMultilevel"/>
    <w:tmpl w:val="BD8AD842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A610A"/>
    <w:multiLevelType w:val="hybridMultilevel"/>
    <w:tmpl w:val="EEBA1456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0763"/>
    <w:multiLevelType w:val="hybridMultilevel"/>
    <w:tmpl w:val="404027BC"/>
    <w:lvl w:ilvl="0" w:tplc="9B5457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53668"/>
    <w:multiLevelType w:val="hybridMultilevel"/>
    <w:tmpl w:val="E89404A0"/>
    <w:lvl w:ilvl="0" w:tplc="FB5C8E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445"/>
    <w:multiLevelType w:val="hybridMultilevel"/>
    <w:tmpl w:val="9F3E81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8662F"/>
    <w:multiLevelType w:val="hybridMultilevel"/>
    <w:tmpl w:val="B54A4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A39"/>
    <w:multiLevelType w:val="hybridMultilevel"/>
    <w:tmpl w:val="FF62F3A4"/>
    <w:lvl w:ilvl="0" w:tplc="E4B21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B3C9D"/>
    <w:multiLevelType w:val="hybridMultilevel"/>
    <w:tmpl w:val="2DF8D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AD5F76"/>
    <w:multiLevelType w:val="hybridMultilevel"/>
    <w:tmpl w:val="F16E946E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71E"/>
    <w:multiLevelType w:val="hybridMultilevel"/>
    <w:tmpl w:val="FFDEA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A0D90"/>
    <w:multiLevelType w:val="hybridMultilevel"/>
    <w:tmpl w:val="F6940CB6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DA7F41"/>
    <w:multiLevelType w:val="hybridMultilevel"/>
    <w:tmpl w:val="98F0D51C"/>
    <w:lvl w:ilvl="0" w:tplc="F8FCA3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52A1"/>
    <w:multiLevelType w:val="hybridMultilevel"/>
    <w:tmpl w:val="838633C4"/>
    <w:lvl w:ilvl="0" w:tplc="1B285708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396527FF"/>
    <w:multiLevelType w:val="hybridMultilevel"/>
    <w:tmpl w:val="16308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6A4E"/>
    <w:multiLevelType w:val="hybridMultilevel"/>
    <w:tmpl w:val="A094CC3E"/>
    <w:lvl w:ilvl="0" w:tplc="BC9A0D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1" w:tplc="03E60B28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B06C8F"/>
    <w:multiLevelType w:val="hybridMultilevel"/>
    <w:tmpl w:val="0C965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BB775C"/>
    <w:multiLevelType w:val="hybridMultilevel"/>
    <w:tmpl w:val="4E8EF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91401"/>
    <w:multiLevelType w:val="hybridMultilevel"/>
    <w:tmpl w:val="5FB65538"/>
    <w:lvl w:ilvl="0" w:tplc="080A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3">
    <w:nsid w:val="473F0344"/>
    <w:multiLevelType w:val="hybridMultilevel"/>
    <w:tmpl w:val="0D8618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58A9"/>
    <w:multiLevelType w:val="hybridMultilevel"/>
    <w:tmpl w:val="33E406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C3746"/>
    <w:multiLevelType w:val="hybridMultilevel"/>
    <w:tmpl w:val="509E4FC2"/>
    <w:lvl w:ilvl="0" w:tplc="F490F1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5784"/>
    <w:multiLevelType w:val="hybridMultilevel"/>
    <w:tmpl w:val="3F981870"/>
    <w:lvl w:ilvl="0" w:tplc="211486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73DDC"/>
    <w:multiLevelType w:val="hybridMultilevel"/>
    <w:tmpl w:val="E89404A0"/>
    <w:lvl w:ilvl="0" w:tplc="FB5C8E9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456D0"/>
    <w:multiLevelType w:val="hybridMultilevel"/>
    <w:tmpl w:val="C0201D3E"/>
    <w:lvl w:ilvl="0" w:tplc="6BC4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35A8D"/>
    <w:multiLevelType w:val="hybridMultilevel"/>
    <w:tmpl w:val="2B5CC6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3586D"/>
    <w:multiLevelType w:val="hybridMultilevel"/>
    <w:tmpl w:val="3B0CCCEE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A217F0E"/>
    <w:multiLevelType w:val="hybridMultilevel"/>
    <w:tmpl w:val="2676F02C"/>
    <w:lvl w:ilvl="0" w:tplc="08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>
    <w:nsid w:val="5A246B69"/>
    <w:multiLevelType w:val="hybridMultilevel"/>
    <w:tmpl w:val="B93CB6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07F7A"/>
    <w:multiLevelType w:val="hybridMultilevel"/>
    <w:tmpl w:val="69D20916"/>
    <w:lvl w:ilvl="0" w:tplc="43BAC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30985"/>
    <w:multiLevelType w:val="hybridMultilevel"/>
    <w:tmpl w:val="5CC66A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35A23"/>
    <w:multiLevelType w:val="hybridMultilevel"/>
    <w:tmpl w:val="92CE51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A4BD3"/>
    <w:multiLevelType w:val="hybridMultilevel"/>
    <w:tmpl w:val="66D0C4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43666"/>
    <w:multiLevelType w:val="hybridMultilevel"/>
    <w:tmpl w:val="26260930"/>
    <w:lvl w:ilvl="0" w:tplc="CFAEC0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2859"/>
    <w:multiLevelType w:val="hybridMultilevel"/>
    <w:tmpl w:val="42B8D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B54CA"/>
    <w:multiLevelType w:val="hybridMultilevel"/>
    <w:tmpl w:val="3BA6D00E"/>
    <w:lvl w:ilvl="0" w:tplc="43BAC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F3E8C"/>
    <w:multiLevelType w:val="hybridMultilevel"/>
    <w:tmpl w:val="940275EC"/>
    <w:lvl w:ilvl="0" w:tplc="0C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>
    <w:nsid w:val="6A017390"/>
    <w:multiLevelType w:val="hybridMultilevel"/>
    <w:tmpl w:val="4CACEF58"/>
    <w:lvl w:ilvl="0" w:tplc="0F580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94015"/>
    <w:multiLevelType w:val="hybridMultilevel"/>
    <w:tmpl w:val="9BC07A26"/>
    <w:lvl w:ilvl="0" w:tplc="04325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24A20"/>
    <w:multiLevelType w:val="hybridMultilevel"/>
    <w:tmpl w:val="27EC16D2"/>
    <w:lvl w:ilvl="0" w:tplc="F490F1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2039"/>
    <w:multiLevelType w:val="hybridMultilevel"/>
    <w:tmpl w:val="DE8AEE2C"/>
    <w:lvl w:ilvl="0" w:tplc="43BAC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82EC8"/>
    <w:multiLevelType w:val="hybridMultilevel"/>
    <w:tmpl w:val="B45EE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4"/>
  </w:num>
  <w:num w:numId="5">
    <w:abstractNumId w:val="31"/>
  </w:num>
  <w:num w:numId="6">
    <w:abstractNumId w:val="40"/>
  </w:num>
  <w:num w:numId="7">
    <w:abstractNumId w:val="11"/>
  </w:num>
  <w:num w:numId="8">
    <w:abstractNumId w:val="29"/>
  </w:num>
  <w:num w:numId="9">
    <w:abstractNumId w:val="16"/>
  </w:num>
  <w:num w:numId="10">
    <w:abstractNumId w:val="14"/>
  </w:num>
  <w:num w:numId="11">
    <w:abstractNumId w:val="42"/>
  </w:num>
  <w:num w:numId="12">
    <w:abstractNumId w:val="30"/>
  </w:num>
  <w:num w:numId="13">
    <w:abstractNumId w:val="22"/>
  </w:num>
  <w:num w:numId="14">
    <w:abstractNumId w:val="28"/>
  </w:num>
  <w:num w:numId="15">
    <w:abstractNumId w:val="36"/>
  </w:num>
  <w:num w:numId="16">
    <w:abstractNumId w:val="13"/>
  </w:num>
  <w:num w:numId="17">
    <w:abstractNumId w:val="1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6"/>
  </w:num>
  <w:num w:numId="23">
    <w:abstractNumId w:val="41"/>
  </w:num>
  <w:num w:numId="24">
    <w:abstractNumId w:val="18"/>
  </w:num>
  <w:num w:numId="25">
    <w:abstractNumId w:val="23"/>
  </w:num>
  <w:num w:numId="26">
    <w:abstractNumId w:val="27"/>
  </w:num>
  <w:num w:numId="27">
    <w:abstractNumId w:val="8"/>
  </w:num>
  <w:num w:numId="28">
    <w:abstractNumId w:val="43"/>
  </w:num>
  <w:num w:numId="29">
    <w:abstractNumId w:val="25"/>
  </w:num>
  <w:num w:numId="30">
    <w:abstractNumId w:val="5"/>
  </w:num>
  <w:num w:numId="31">
    <w:abstractNumId w:val="3"/>
  </w:num>
  <w:num w:numId="32">
    <w:abstractNumId w:val="44"/>
  </w:num>
  <w:num w:numId="33">
    <w:abstractNumId w:val="7"/>
  </w:num>
  <w:num w:numId="34">
    <w:abstractNumId w:val="33"/>
  </w:num>
  <w:num w:numId="35">
    <w:abstractNumId w:val="10"/>
  </w:num>
  <w:num w:numId="36">
    <w:abstractNumId w:val="45"/>
  </w:num>
  <w:num w:numId="37">
    <w:abstractNumId w:val="38"/>
  </w:num>
  <w:num w:numId="38">
    <w:abstractNumId w:val="39"/>
  </w:num>
  <w:num w:numId="39">
    <w:abstractNumId w:val="15"/>
  </w:num>
  <w:num w:numId="40">
    <w:abstractNumId w:val="32"/>
  </w:num>
  <w:num w:numId="41">
    <w:abstractNumId w:val="19"/>
  </w:num>
  <w:num w:numId="42">
    <w:abstractNumId w:val="35"/>
  </w:num>
  <w:num w:numId="43">
    <w:abstractNumId w:val="9"/>
  </w:num>
  <w:num w:numId="44">
    <w:abstractNumId w:val="21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9"/>
    <w:rsid w:val="000135A1"/>
    <w:rsid w:val="0001422F"/>
    <w:rsid w:val="000166D3"/>
    <w:rsid w:val="00045794"/>
    <w:rsid w:val="00047145"/>
    <w:rsid w:val="000579F3"/>
    <w:rsid w:val="00057FEC"/>
    <w:rsid w:val="00060515"/>
    <w:rsid w:val="00065FD8"/>
    <w:rsid w:val="00067D44"/>
    <w:rsid w:val="00084B53"/>
    <w:rsid w:val="000A0AC7"/>
    <w:rsid w:val="000A4403"/>
    <w:rsid w:val="000B6411"/>
    <w:rsid w:val="000C58FB"/>
    <w:rsid w:val="000C6AD6"/>
    <w:rsid w:val="000C6C32"/>
    <w:rsid w:val="000E598F"/>
    <w:rsid w:val="000F7A0C"/>
    <w:rsid w:val="00103790"/>
    <w:rsid w:val="0012301F"/>
    <w:rsid w:val="00123D29"/>
    <w:rsid w:val="00132A59"/>
    <w:rsid w:val="00182BC3"/>
    <w:rsid w:val="001850EC"/>
    <w:rsid w:val="00194086"/>
    <w:rsid w:val="001A7073"/>
    <w:rsid w:val="001B11F2"/>
    <w:rsid w:val="001B2894"/>
    <w:rsid w:val="001D6DAC"/>
    <w:rsid w:val="001F33E1"/>
    <w:rsid w:val="002006DC"/>
    <w:rsid w:val="00216822"/>
    <w:rsid w:val="002518C1"/>
    <w:rsid w:val="00256BFE"/>
    <w:rsid w:val="00256FEC"/>
    <w:rsid w:val="00282E3B"/>
    <w:rsid w:val="00287E32"/>
    <w:rsid w:val="0029731F"/>
    <w:rsid w:val="002C145B"/>
    <w:rsid w:val="002F60C8"/>
    <w:rsid w:val="0030730F"/>
    <w:rsid w:val="0031246D"/>
    <w:rsid w:val="00322F44"/>
    <w:rsid w:val="00332997"/>
    <w:rsid w:val="00366A8E"/>
    <w:rsid w:val="00370BB5"/>
    <w:rsid w:val="00380124"/>
    <w:rsid w:val="003E4475"/>
    <w:rsid w:val="00425C43"/>
    <w:rsid w:val="00442956"/>
    <w:rsid w:val="0044475C"/>
    <w:rsid w:val="00461AC9"/>
    <w:rsid w:val="00472F26"/>
    <w:rsid w:val="004807D2"/>
    <w:rsid w:val="004814F4"/>
    <w:rsid w:val="00483CBD"/>
    <w:rsid w:val="0048545D"/>
    <w:rsid w:val="004A6200"/>
    <w:rsid w:val="004B2019"/>
    <w:rsid w:val="004C0D88"/>
    <w:rsid w:val="004D0377"/>
    <w:rsid w:val="004E73A3"/>
    <w:rsid w:val="004E7743"/>
    <w:rsid w:val="00502526"/>
    <w:rsid w:val="0058067A"/>
    <w:rsid w:val="005973CA"/>
    <w:rsid w:val="005A3BA8"/>
    <w:rsid w:val="005B078D"/>
    <w:rsid w:val="005C0F09"/>
    <w:rsid w:val="005D3FB0"/>
    <w:rsid w:val="005E33E9"/>
    <w:rsid w:val="005E4692"/>
    <w:rsid w:val="005E4C86"/>
    <w:rsid w:val="006638D1"/>
    <w:rsid w:val="006A16F0"/>
    <w:rsid w:val="006A2596"/>
    <w:rsid w:val="006B3692"/>
    <w:rsid w:val="006C6074"/>
    <w:rsid w:val="006D01F8"/>
    <w:rsid w:val="00710484"/>
    <w:rsid w:val="0071200F"/>
    <w:rsid w:val="00730683"/>
    <w:rsid w:val="00745FF7"/>
    <w:rsid w:val="00747CA8"/>
    <w:rsid w:val="00752EE5"/>
    <w:rsid w:val="007857A8"/>
    <w:rsid w:val="007A58FC"/>
    <w:rsid w:val="007D58C4"/>
    <w:rsid w:val="007E28C2"/>
    <w:rsid w:val="007E68B5"/>
    <w:rsid w:val="007E70C2"/>
    <w:rsid w:val="007F4FE1"/>
    <w:rsid w:val="008028C1"/>
    <w:rsid w:val="0080690B"/>
    <w:rsid w:val="008152FE"/>
    <w:rsid w:val="008512FA"/>
    <w:rsid w:val="00864278"/>
    <w:rsid w:val="008666C8"/>
    <w:rsid w:val="008B74B4"/>
    <w:rsid w:val="008C5E33"/>
    <w:rsid w:val="008C7EDF"/>
    <w:rsid w:val="008F16A6"/>
    <w:rsid w:val="008F2F60"/>
    <w:rsid w:val="00904EF4"/>
    <w:rsid w:val="00930471"/>
    <w:rsid w:val="00954AB5"/>
    <w:rsid w:val="0097111E"/>
    <w:rsid w:val="009765A5"/>
    <w:rsid w:val="00985157"/>
    <w:rsid w:val="009B2E7B"/>
    <w:rsid w:val="009B6353"/>
    <w:rsid w:val="009F2B02"/>
    <w:rsid w:val="00A12D0E"/>
    <w:rsid w:val="00A22577"/>
    <w:rsid w:val="00A25311"/>
    <w:rsid w:val="00A34000"/>
    <w:rsid w:val="00A4133B"/>
    <w:rsid w:val="00A642EC"/>
    <w:rsid w:val="00A65256"/>
    <w:rsid w:val="00A75678"/>
    <w:rsid w:val="00A87679"/>
    <w:rsid w:val="00A92EB2"/>
    <w:rsid w:val="00AA0297"/>
    <w:rsid w:val="00AB0162"/>
    <w:rsid w:val="00AD34BD"/>
    <w:rsid w:val="00AE0714"/>
    <w:rsid w:val="00B06A60"/>
    <w:rsid w:val="00B06A90"/>
    <w:rsid w:val="00B26477"/>
    <w:rsid w:val="00B34BA9"/>
    <w:rsid w:val="00B60ED6"/>
    <w:rsid w:val="00B72C42"/>
    <w:rsid w:val="00BE1313"/>
    <w:rsid w:val="00C131A2"/>
    <w:rsid w:val="00C4742B"/>
    <w:rsid w:val="00C522E9"/>
    <w:rsid w:val="00C76E60"/>
    <w:rsid w:val="00C855A8"/>
    <w:rsid w:val="00C94603"/>
    <w:rsid w:val="00CC0DD0"/>
    <w:rsid w:val="00CD26FF"/>
    <w:rsid w:val="00CE773D"/>
    <w:rsid w:val="00D03C1C"/>
    <w:rsid w:val="00D050FD"/>
    <w:rsid w:val="00D078AB"/>
    <w:rsid w:val="00D20570"/>
    <w:rsid w:val="00D3542F"/>
    <w:rsid w:val="00D42AF9"/>
    <w:rsid w:val="00D70632"/>
    <w:rsid w:val="00D75709"/>
    <w:rsid w:val="00D85816"/>
    <w:rsid w:val="00D9041D"/>
    <w:rsid w:val="00D9675E"/>
    <w:rsid w:val="00DB516B"/>
    <w:rsid w:val="00DB5A8E"/>
    <w:rsid w:val="00DC321A"/>
    <w:rsid w:val="00DC3302"/>
    <w:rsid w:val="00DC36F3"/>
    <w:rsid w:val="00DE28D1"/>
    <w:rsid w:val="00E30C81"/>
    <w:rsid w:val="00E64116"/>
    <w:rsid w:val="00E7359E"/>
    <w:rsid w:val="00EC0189"/>
    <w:rsid w:val="00EC48D1"/>
    <w:rsid w:val="00EE0477"/>
    <w:rsid w:val="00EE40BB"/>
    <w:rsid w:val="00EE5FD3"/>
    <w:rsid w:val="00EF4E27"/>
    <w:rsid w:val="00EF5118"/>
    <w:rsid w:val="00F05998"/>
    <w:rsid w:val="00F0734C"/>
    <w:rsid w:val="00F07760"/>
    <w:rsid w:val="00F10D0C"/>
    <w:rsid w:val="00F152ED"/>
    <w:rsid w:val="00F55806"/>
    <w:rsid w:val="00F646CF"/>
    <w:rsid w:val="00F67971"/>
    <w:rsid w:val="00F7268A"/>
    <w:rsid w:val="00F919A5"/>
    <w:rsid w:val="00FD271F"/>
    <w:rsid w:val="00FD79DB"/>
    <w:rsid w:val="00FF45CA"/>
    <w:rsid w:val="00FF5710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customStyle="1" w:styleId="Default">
    <w:name w:val="Default"/>
    <w:rsid w:val="00904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E27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customStyle="1" w:styleId="Default">
    <w:name w:val="Default"/>
    <w:rsid w:val="00904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E2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5793">
                  <w:marLeft w:val="1080"/>
                  <w:marRight w:val="108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4FF8-610C-4122-BC06-DE1BF4B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Marcela Salazar Nunez</dc:creator>
  <cp:lastModifiedBy>Julieta Marcela Salazar Nunez</cp:lastModifiedBy>
  <cp:revision>2</cp:revision>
  <dcterms:created xsi:type="dcterms:W3CDTF">2013-02-27T18:21:00Z</dcterms:created>
  <dcterms:modified xsi:type="dcterms:W3CDTF">2013-02-27T18:21:00Z</dcterms:modified>
</cp:coreProperties>
</file>